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44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mallCaps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State of Utah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774065" cy="74041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595" l="-4448" r="-4447" t="-1596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40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Commission on Criminal and Juvenile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38100" cy="15240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3778" y="3018000"/>
                          <a:ext cx="4445" cy="1524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38100" cy="15240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tabs>
          <w:tab w:val="right" w:leader="none" w:pos="1440"/>
          <w:tab w:val="left" w:leader="none" w:pos="1872"/>
          <w:tab w:val="right" w:leader="none" w:pos="720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Spencer J. Cox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 Ross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tabs>
          <w:tab w:val="right" w:leader="none" w:pos="1440"/>
          <w:tab w:val="left" w:leader="none" w:pos="1872"/>
        </w:tabs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            Governor       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Executive Director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tabs>
          <w:tab w:val="right" w:leader="none" w:pos="1440"/>
          <w:tab w:val="left" w:leader="none" w:pos="1872"/>
          <w:tab w:val="right" w:leader="none" w:pos="720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Deidre Henderson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tabs>
          <w:tab w:val="right" w:leader="none" w:pos="1440"/>
          <w:tab w:val="left" w:leader="none" w:pos="2250"/>
          <w:tab w:val="right" w:leader="none" w:pos="7200"/>
        </w:tabs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Lieutenant Governor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Utah State Capitol Complex, Senate Building, Suite 330 • Salt Lake City, Utah 84114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spacing w:line="240" w:lineRule="auto"/>
        <w:ind w:left="225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801-538-1031 • www.justice.utah.gov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19" w:lineRule="auto"/>
        <w:jc w:val="both"/>
        <w:rPr>
          <w:rFonts w:ascii="Sharuti" w:cs="Sharuti" w:eastAsia="Sharuti" w:hAnsi="Sharut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773968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Square wrapText="bothSides" distB="0" distT="0" distL="0" distR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November 22, 2023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Monitoring Report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SUBGRANTEE INFORMATION</w:t>
      </w:r>
    </w:p>
    <w:tbl>
      <w:tblPr>
        <w:tblStyle w:val="Table1"/>
        <w:tblW w:w="10908.0" w:type="dxa"/>
        <w:jc w:val="left"/>
        <w:tblInd w:w="-108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8280"/>
        <w:tblGridChange w:id="0">
          <w:tblGrid>
            <w:gridCol w:w="2628"/>
            <w:gridCol w:w="8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 Number: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Grant Period: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Subgrantee Name: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123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Project Director: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123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Address:</w:t>
              <w:tab/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Fax/Email: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1"/>
        <w:keepLines w:val="1"/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A.  PERSONNEL </w:t>
      </w:r>
      <w:r w:rsidDel="00000000" w:rsidR="00000000" w:rsidRPr="00000000">
        <w:rPr>
          <w:rtl w:val="0"/>
        </w:rPr>
      </w:r>
    </w:p>
    <w:tbl>
      <w:tblPr>
        <w:tblStyle w:val="Table2"/>
        <w:tblW w:w="11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41"/>
        <w:tblGridChange w:id="0">
          <w:tblGrid>
            <w:gridCol w:w="11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No Finding: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Guidance: </w:t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Costs submitted for personnel must: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6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Identify by name any grant paid employees, the number of hours, rate of pay, and any fringe benefits charged to the grant. 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6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Rate of pay  must be reasonable and consistent with that paid for similar work in the organization or in the labor market. 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6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Follow all agency, state, and federal regulations regarding payroll withholdings, wages, and work hours.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6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submitted in the correct budget category. </w:t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Further guidance can be found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28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Recommendation: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B.  EQUIPMENT, SUPPLIES &amp; OPERATING (ESO) </w:t>
      </w:r>
      <w:r w:rsidDel="00000000" w:rsidR="00000000" w:rsidRPr="00000000">
        <w:rPr>
          <w:rtl w:val="0"/>
        </w:rPr>
      </w:r>
    </w:p>
    <w:tbl>
      <w:tblPr>
        <w:tblStyle w:val="Table3"/>
        <w:tblW w:w="11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41"/>
        <w:tblGridChange w:id="0">
          <w:tblGrid>
            <w:gridCol w:w="11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No Findings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Guidance: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Costs must: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Include item description, unit cost, quantity purchased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Follow regular written procurement policy of home agency or the purchasing policy of the State of Utah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submitted in the correct budget category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Further guidance can be found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u w:val="single"/>
                  <w:rtl w:val="0"/>
                </w:rPr>
                <w:t xml:space="preserve">here.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35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Recommendation: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C.  CONTRACT SERVICES </w:t>
      </w:r>
      <w:r w:rsidDel="00000000" w:rsidR="00000000" w:rsidRPr="00000000">
        <w:rPr>
          <w:rtl w:val="0"/>
        </w:rPr>
      </w:r>
    </w:p>
    <w:tbl>
      <w:tblPr>
        <w:tblStyle w:val="Table4"/>
        <w:tblW w:w="11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41"/>
        <w:tblGridChange w:id="0">
          <w:tblGrid>
            <w:gridCol w:w="11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No Findings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Guidance: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Costs must: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Identify consultants by name and match legally executed contracts in the grant file.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Must follow agency’s written procurement policies or the purchasing policy of the State of Utah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Must be reasonable and not exceed federal consultant limits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submitted in the correct budget category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Further guidance can be found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u w:val="single"/>
                  <w:rtl w:val="0"/>
                </w:rPr>
                <w:t xml:space="preserve"> here.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42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Recommendation: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D.  TRAVEL &amp; TRAINING </w:t>
      </w:r>
      <w:r w:rsidDel="00000000" w:rsidR="00000000" w:rsidRPr="00000000">
        <w:rPr>
          <w:rtl w:val="0"/>
        </w:rPr>
      </w:r>
    </w:p>
    <w:tbl>
      <w:tblPr>
        <w:tblStyle w:val="Table5"/>
        <w:tblW w:w="11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41"/>
        <w:tblGridChange w:id="0">
          <w:tblGrid>
            <w:gridCol w:w="11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 No Findings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Guidance: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Costs must: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Adhere to the agency’s policies and procedures and must be as restrictive of the State of Utah’s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u w:val="single"/>
                  <w:rtl w:val="0"/>
                </w:rPr>
                <w:t xml:space="preserve">travel policy.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Include travel destination, travelers name, registration cost, housing, per diem, conference/training agenda, receipts, and a reconciliation report.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submitted in the correct budget category.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Further guidance can be found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u w:val="single"/>
                  <w:rtl w:val="0"/>
                </w:rPr>
                <w:t xml:space="preserve"> here.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Recommendation: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1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E.  CONFIDENTIAL INFORMANT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/UNDERCOVER BUY FUNDS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(CI/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6"/>
        <w:tblW w:w="11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41"/>
        <w:tblGridChange w:id="0">
          <w:tblGrid>
            <w:gridCol w:w="11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No Findings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Guidance: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Subgrantees awarded CI funds must adhere to restrictive procedures on tracking the funds. 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Costs shall only be allocated for purchase of service (P/S), purchase of evidence (P/E), and purchase of information (P/I).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Commander and officer(s) logs are available on CCJJ’s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u w:val="single"/>
                  <w:rtl w:val="0"/>
                </w:rPr>
                <w:t xml:space="preserve"> web page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 are to be used unless the same information is contained in a format supplied by subgrantee and approved by CCJJ.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Awarding of CI funds places the grant in a “high risk” category and must be monitored annually. Reimbursement requests must be submitted in the correct budget category.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59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Recommendation: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F. OTHER</w:t>
      </w:r>
    </w:p>
    <w:tbl>
      <w:tblPr>
        <w:tblStyle w:val="Table7"/>
        <w:tblW w:w="11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41"/>
        <w:tblGridChange w:id="0">
          <w:tblGrid>
            <w:gridCol w:w="11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Not a finding - technical assistance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Guidance:</w:t>
            </w:r>
          </w:p>
          <w:p w:rsidR="00000000" w:rsidDel="00000000" w:rsidP="00000000" w:rsidRDefault="00000000" w:rsidRPr="00000000" w14:paraId="0000005F">
            <w:pPr>
              <w:pageBreakBefore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 is the responsibility of the State Administering Agency (SAA) to ensure that its grant subrecipients are complying with all applicable federal civil rights laws.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Every subrecipient of a CCJJ grant must comply with EEOP procedures.</w:t>
            </w:r>
          </w:p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 subgrantees are required to take online Civil Rights training on CCJJ website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https://justice.utah.gov/grants/grant-resources/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Subgrantees must print and keep the Certificate of Completion in their grant file for review at monitoring time.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63">
            <w:pPr>
              <w:pageBreakBefore w:val="0"/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Recommendation: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Follow up:</w:t>
      </w:r>
    </w:p>
    <w:tbl>
      <w:tblPr>
        <w:tblStyle w:val="Table8"/>
        <w:tblW w:w="11055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55"/>
        <w:tblGridChange w:id="0">
          <w:tblGrid>
            <w:gridCol w:w="11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follow up: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Reason: There is no need for follow up visit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0"/>
        <w:gridCol w:w="6550"/>
        <w:gridCol w:w="236"/>
        <w:gridCol w:w="2400"/>
        <w:tblGridChange w:id="0">
          <w:tblGrid>
            <w:gridCol w:w="390"/>
            <w:gridCol w:w="6550"/>
            <w:gridCol w:w="236"/>
            <w:gridCol w:w="2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ourgette" w:cs="Courgette" w:eastAsia="Courgette" w:hAnsi="Courgette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urgette" w:cs="Courgette" w:eastAsia="Courgette" w:hAnsi="Courgette"/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.97851562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                                             Grant Monitor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cc: </w:t>
      </w:r>
    </w:p>
    <w:sectPr>
      <w:headerReference r:id="rId17" w:type="default"/>
      <w:footerReference r:id="rId18" w:type="default"/>
      <w:pgSz w:h="15840" w:w="12240" w:orient="portrait"/>
      <w:pgMar w:bottom="1008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gette">
    <w:embedRegular w:fontKey="{00000000-0000-0000-0000-000000000000}" r:id="rId1" w:subsetted="0"/>
  </w:font>
  <w:font w:name="Sharu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Revised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August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6611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531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-Accent3">
    <w:name w:val="Light Shading Accent 3"/>
    <w:basedOn w:val="TableNormal"/>
    <w:uiPriority w:val="60"/>
    <w:rsid w:val="00D53177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character" w:styleId="IntenseReference">
    <w:name w:val="Intense Reference"/>
    <w:basedOn w:val="DefaultParagraphFont"/>
    <w:uiPriority w:val="32"/>
    <w:qFormat w:val="1"/>
    <w:rsid w:val="00D53177"/>
    <w:rPr>
      <w:b w:val="1"/>
      <w:bCs w:val="1"/>
      <w:smallCaps w:val="1"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 w:val="1"/>
    <w:rsid w:val="003D06E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E2A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ADA"/>
  </w:style>
  <w:style w:type="paragraph" w:styleId="Footer">
    <w:name w:val="footer"/>
    <w:basedOn w:val="Normal"/>
    <w:link w:val="FooterChar"/>
    <w:uiPriority w:val="99"/>
    <w:unhideWhenUsed w:val="1"/>
    <w:rsid w:val="002E2A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ADA"/>
  </w:style>
  <w:style w:type="table" w:styleId="LightShading-Accent11" w:customStyle="1">
    <w:name w:val="Light Shading - Accent 11"/>
    <w:basedOn w:val="TableNormal"/>
    <w:uiPriority w:val="60"/>
    <w:rsid w:val="001B0177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2A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2AFA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8A5472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E24A0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727B3B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86611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C1C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jp.gov/funding/financialguidedoj/overview" TargetMode="External"/><Relationship Id="rId10" Type="http://schemas.openxmlformats.org/officeDocument/2006/relationships/hyperlink" Target="https://www.ojp.gov/funding/financialguidedoj/overview" TargetMode="External"/><Relationship Id="rId13" Type="http://schemas.openxmlformats.org/officeDocument/2006/relationships/hyperlink" Target="https://finance.utah.gov/state-travel-a-2/" TargetMode="External"/><Relationship Id="rId12" Type="http://schemas.openxmlformats.org/officeDocument/2006/relationships/hyperlink" Target="https://www.ojp.gov/funding/financialguidedoj/over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www.justice.utah.gov/grants/grant-resources/" TargetMode="External"/><Relationship Id="rId14" Type="http://schemas.openxmlformats.org/officeDocument/2006/relationships/hyperlink" Target="https://www.ojp.gov/funding/financialguidedoj/overview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justice.utah.gov/grants/grant-resourc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0ZvjuvMeCAUr+0LuKyERfIzyQ==">CgMxLjA4AHIhMThYaUE2N2dBWU1PazctSzNlb2gxTWhYc0o4UnZXcHda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2016-10-18T19:12:00Z</dcterms:created>
  <dc:creator>Lori Olsen</dc:creator>
</cp:coreProperties>
</file>