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-510" w:tblpY="435"/>
        <w:tblW w:w="11273.999999999998" w:type="dxa"/>
        <w:jc w:val="left"/>
        <w:tblLayout w:type="fixed"/>
        <w:tblLook w:val="0000"/>
      </w:tblPr>
      <w:tblGrid>
        <w:gridCol w:w="2019"/>
        <w:gridCol w:w="376"/>
        <w:gridCol w:w="1440"/>
        <w:gridCol w:w="1547"/>
        <w:gridCol w:w="1398"/>
        <w:gridCol w:w="119"/>
        <w:gridCol w:w="1350"/>
        <w:gridCol w:w="363"/>
        <w:gridCol w:w="1141"/>
        <w:gridCol w:w="1521"/>
        <w:tblGridChange w:id="0">
          <w:tblGrid>
            <w:gridCol w:w="2019"/>
            <w:gridCol w:w="376"/>
            <w:gridCol w:w="1440"/>
            <w:gridCol w:w="1547"/>
            <w:gridCol w:w="1398"/>
            <w:gridCol w:w="119"/>
            <w:gridCol w:w="1350"/>
            <w:gridCol w:w="363"/>
            <w:gridCol w:w="1141"/>
            <w:gridCol w:w="1521"/>
          </w:tblGrid>
        </w:tblGridChange>
      </w:tblGrid>
      <w:tr>
        <w:trPr>
          <w:cantSplit w:val="0"/>
          <w:trHeight w:val="568.9453124999999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Quantitative Measures &amp; Narrative Progress Reporting Form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HRT Grant FY2024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7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/>
              <w:drawing>
                <wp:inline distB="0" distT="0" distL="0" distR="0">
                  <wp:extent cx="3299657" cy="510389"/>
                  <wp:effectExtent b="0" l="0" r="0" t="0"/>
                  <wp:docPr descr="Text&#10;&#10;Description automatically generated" id="189700570" name="image1.pn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657" cy="5103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tabs>
                <w:tab w:val="left" w:leader="none" w:pos="-720"/>
                <w:tab w:val="left" w:leader="none" w:pos="0"/>
                <w:tab w:val="left" w:leader="none" w:pos="336"/>
                <w:tab w:val="left" w:leader="none" w:pos="720"/>
                <w:tab w:val="left" w:leader="none" w:pos="1060"/>
                <w:tab w:val="left" w:leader="none" w:pos="1560"/>
                <w:tab w:val="left" w:leader="none" w:pos="1797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STATE OF UTAH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Commission on Criminal &amp; Juvenile Justice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Utah State Capitol Complex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East Office Building, Suite E330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Salt Lake City, Utah 84114-2330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153d63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53d63"/>
                  <w:sz w:val="22"/>
                  <w:szCs w:val="22"/>
                  <w:u w:val="single"/>
                  <w:rtl w:val="0"/>
                </w:rPr>
                <w:t xml:space="preserve">www.justice.state.ut.us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Grantee Name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Grant #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leader="none" w:pos="198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rtl w:val="0"/>
              </w:rPr>
              <w:t xml:space="preserve">Instructions:  1)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the white space below, please state the primary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Project Goal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of your grant. </w:t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198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18"/>
                <w:szCs w:val="18"/>
                <w:rtl w:val="0"/>
              </w:rPr>
              <w:t xml:space="preserve">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the white space after each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Measurable Object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provide a Quantitative Performance Measure that will track your progress in meeting your goal.  You must provide 3 measurable objects.  You are welcome to expand this form if you want to provide more than three measurable objects.  </w:t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1980"/>
              </w:tabs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18"/>
                <w:szCs w:val="18"/>
                <w:rtl w:val="0"/>
              </w:rPr>
              <w:t xml:space="preserve">3)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 the white space after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FY202124 Targets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indicate the numerical target that you expect to achieve for each measurable objective at the end of each quarter and for the year.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18"/>
                <w:szCs w:val="18"/>
                <w:rtl w:val="0"/>
              </w:rPr>
              <w:t xml:space="preserve">Be sure to set your quarterly and annual targets for each measurable objective at a level that you can be reasonably certain to meet.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153d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Project Goal: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 Provide 24-Hour hospital response to sexual assault survivors.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Quattrocento Sans" w:cs="Quattrocento Sans" w:eastAsia="Quattrocento Sans" w:hAnsi="Quattrocento Sans"/>
                <w:color w:val="943634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Measurable Objective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(Example)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 Number of shifts staffed by advocates to ensure availability for all sexual assault forensic exams.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</w:t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- Sept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- Dec </w:t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 - March 2024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 - June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</w:t>
            </w:r>
          </w:p>
          <w:p w:rsidR="00000000" w:rsidDel="00000000" w:rsidP="00000000" w:rsidRDefault="00000000" w:rsidRPr="00000000" w14:paraId="00000056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rtl w:val="0"/>
              </w:rPr>
              <w:t xml:space="preserve">FY 2024 Targets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198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rtl w:val="0"/>
              </w:rPr>
              <w:t xml:space="preserve">FY 2024 Actual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c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Measurable Objective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(Example)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 Number of volunteer advocates that are recruited, trained, and supervised to ensure availability of HRT.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</w:t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9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- Sept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- Dec </w:t>
            </w:r>
          </w:p>
          <w:p w:rsidR="00000000" w:rsidDel="00000000" w:rsidP="00000000" w:rsidRDefault="00000000" w:rsidRPr="00000000" w14:paraId="0000007B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 - March 2024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 - June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 Total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rtl w:val="0"/>
              </w:rPr>
              <w:t xml:space="preserve">FY 2024 Targets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leader="none" w:pos="198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 Actual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153d63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Measurable Objective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53d63"/>
                <w:sz w:val="22"/>
                <w:szCs w:val="22"/>
                <w:rtl w:val="0"/>
              </w:rPr>
              <w:t xml:space="preserve">(Example)</w:t>
            </w:r>
            <w:r w:rsidDel="00000000" w:rsidR="00000000" w:rsidRPr="00000000">
              <w:rPr>
                <w:rFonts w:ascii="Calibri" w:cs="Calibri" w:eastAsia="Calibri" w:hAnsi="Calibri"/>
                <w:color w:val="153d63"/>
                <w:sz w:val="22"/>
                <w:szCs w:val="22"/>
                <w:rtl w:val="0"/>
              </w:rPr>
              <w:t xml:space="preserve"> Number of individual contacts with community and system-based partners to ensure follow-up services are provided for survivors of sexual assault. </w:t>
            </w:r>
          </w:p>
          <w:p w:rsidR="00000000" w:rsidDel="00000000" w:rsidP="00000000" w:rsidRDefault="00000000" w:rsidRPr="00000000" w14:paraId="00000096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0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</w:t>
            </w:r>
          </w:p>
          <w:p w:rsidR="00000000" w:rsidDel="00000000" w:rsidP="00000000" w:rsidRDefault="00000000" w:rsidRPr="00000000" w14:paraId="000000A1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4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July - Sept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- Dec </w:t>
            </w:r>
          </w:p>
          <w:p w:rsidR="00000000" w:rsidDel="00000000" w:rsidP="00000000" w:rsidRDefault="00000000" w:rsidRPr="00000000" w14:paraId="000000A6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 - March 2024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9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April - June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 2024 Total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N/A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rtl w:val="0"/>
              </w:rPr>
              <w:t xml:space="preserve">FY 2024 Targets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shd w:fill="c1e4f5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color w:val="153d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153d6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53d63"/>
                <w:rtl w:val="0"/>
              </w:rPr>
              <w:t xml:space="preserve">FY 2024 Actual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shd w:fill="dae9f7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tabs>
                <w:tab w:val="left" w:leader="none" w:pos="1980"/>
              </w:tabs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10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leader="none" w:pos="1980"/>
              </w:tabs>
              <w:rPr>
                <w:rFonts w:ascii="Calibri" w:cs="Calibri" w:eastAsia="Calibri" w:hAnsi="Calibri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Director:________________________________   Date:________________</w:t>
      </w:r>
    </w:p>
    <w:sectPr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Play">
    <w:embedRegular w:fontKey="{00000000-0000-0000-0000-000000000000}" r:id="rId1" w:subsetted="0"/>
    <w:embedBold w:fontKey="{00000000-0000-0000-0000-000000000000}" r:id="rId2" w:subsetted="0"/>
  </w:font>
  <w:font w:name="Aptos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80" w:before="360" w:line="259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160" w:line="259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160" w:line="259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80" w:line="259" w:lineRule="auto"/>
    </w:pPr>
    <w:rPr>
      <w:rFonts w:ascii="Aptos" w:cs="Aptos" w:eastAsia="Aptos" w:hAnsi="Aptos"/>
      <w:i w:val="1"/>
      <w:color w:val="0f476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80" w:line="259" w:lineRule="auto"/>
    </w:pPr>
    <w:rPr>
      <w:rFonts w:ascii="Aptos" w:cs="Aptos" w:eastAsia="Aptos" w:hAnsi="Aptos"/>
      <w:color w:val="0f47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before="40" w:line="259" w:lineRule="auto"/>
    </w:pPr>
    <w:rPr>
      <w:rFonts w:ascii="Aptos" w:cs="Aptos" w:eastAsia="Aptos" w:hAnsi="Aptos"/>
      <w:i w:val="1"/>
      <w:color w:val="595959"/>
      <w:sz w:val="22"/>
      <w:szCs w:val="22"/>
    </w:rPr>
  </w:style>
  <w:style w:type="paragraph" w:styleId="Title">
    <w:name w:val="Title"/>
    <w:basedOn w:val="Normal"/>
    <w:next w:val="Normal"/>
    <w:pPr>
      <w:widowControl w:val="1"/>
      <w:spacing w:after="8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9616F1"/>
    <w:pPr>
      <w:widowControl w:val="0"/>
      <w:autoSpaceDE w:val="0"/>
      <w:autoSpaceDN w:val="0"/>
      <w:adjustRightInd w:val="0"/>
      <w:spacing w:after="0" w:line="240" w:lineRule="auto"/>
    </w:pPr>
    <w:rPr>
      <w:rFonts w:ascii="Univers" w:cs="Times New Roman" w:eastAsia="Times New Roman" w:hAnsi="Univers"/>
      <w:kern w:val="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after="80" w:before="360" w:line="259" w:lineRule="auto"/>
      <w:outlineLvl w:val="0"/>
    </w:pPr>
    <w:rPr>
      <w:rFonts w:asciiTheme="majorHAnsi" w:cstheme="majorBidi" w:eastAsiaTheme="majorEastAsia" w:hAnsiTheme="majorHAnsi"/>
      <w:color w:val="0f4761" w:themeColor="accent1" w:themeShade="0000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after="80" w:before="160" w:line="259" w:lineRule="auto"/>
      <w:outlineLvl w:val="1"/>
    </w:pPr>
    <w:rPr>
      <w:rFonts w:asciiTheme="majorHAnsi" w:cstheme="majorBidi" w:eastAsiaTheme="majorEastAsia" w:hAnsiTheme="majorHAnsi"/>
      <w:color w:val="0f4761" w:themeColor="accent1" w:themeShade="0000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after="80" w:before="160" w:line="259" w:lineRule="auto"/>
      <w:outlineLvl w:val="2"/>
    </w:pPr>
    <w:rPr>
      <w:rFonts w:asciiTheme="minorHAnsi" w:cstheme="majorBidi" w:eastAsiaTheme="majorEastAsia" w:hAnsiTheme="minorHAnsi"/>
      <w:color w:val="0f4761" w:themeColor="accent1" w:themeShade="0000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after="40" w:before="80" w:line="259" w:lineRule="auto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  <w:kern w:val="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after="40" w:before="80" w:line="259" w:lineRule="auto"/>
      <w:outlineLvl w:val="4"/>
    </w:pPr>
    <w:rPr>
      <w:rFonts w:asciiTheme="minorHAnsi" w:cstheme="majorBidi" w:eastAsiaTheme="majorEastAsia" w:hAnsiTheme="minorHAnsi"/>
      <w:color w:val="0f4761" w:themeColor="accent1" w:themeShade="0000BF"/>
      <w:kern w:val="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before="40" w:line="259" w:lineRule="auto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before="40" w:line="259" w:lineRule="auto"/>
      <w:outlineLvl w:val="6"/>
    </w:pPr>
    <w:rPr>
      <w:rFonts w:asciiTheme="minorHAnsi" w:cstheme="majorBidi" w:eastAsiaTheme="majorEastAsia" w:hAnsiTheme="minorHAnsi"/>
      <w:color w:val="595959" w:themeColor="text1" w:themeTint="0000A6"/>
      <w:kern w:val="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line="259" w:lineRule="auto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  <w:kern w:val="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9616F1"/>
    <w:pPr>
      <w:keepNext w:val="1"/>
      <w:keepLines w:val="1"/>
      <w:widowControl w:val="1"/>
      <w:autoSpaceDE w:val="1"/>
      <w:autoSpaceDN w:val="1"/>
      <w:adjustRightInd w:val="1"/>
      <w:spacing w:line="259" w:lineRule="auto"/>
      <w:outlineLvl w:val="8"/>
    </w:pPr>
    <w:rPr>
      <w:rFonts w:asciiTheme="minorHAnsi" w:cstheme="majorBidi" w:eastAsiaTheme="majorEastAsia" w:hAnsiTheme="minorHAnsi"/>
      <w:color w:val="272727" w:themeColor="text1" w:themeTint="0000D8"/>
      <w:kern w:val="2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9616F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9616F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9616F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9616F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9616F1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9616F1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9616F1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9616F1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9616F1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9616F1"/>
    <w:pPr>
      <w:widowControl w:val="1"/>
      <w:autoSpaceDE w:val="1"/>
      <w:autoSpaceDN w:val="1"/>
      <w:adjustRightInd w:val="1"/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616F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9616F1"/>
    <w:pPr>
      <w:widowControl w:val="1"/>
      <w:numPr>
        <w:ilvl w:val="1"/>
      </w:numPr>
      <w:autoSpaceDE w:val="1"/>
      <w:autoSpaceDN w:val="1"/>
      <w:adjustRightInd w:val="1"/>
      <w:spacing w:after="160" w:line="259" w:lineRule="auto"/>
    </w:pPr>
    <w:rPr>
      <w:rFonts w:asciiTheme="minorHAnsi" w:cstheme="majorBidi" w:eastAsiaTheme="majorEastAsia" w:hAnsiTheme="minorHAnsi"/>
      <w:color w:val="595959" w:themeColor="text1" w:themeTint="0000A6"/>
      <w:spacing w:val="15"/>
      <w:kern w:val="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616F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9616F1"/>
    <w:pPr>
      <w:widowControl w:val="1"/>
      <w:autoSpaceDE w:val="1"/>
      <w:autoSpaceDN w:val="1"/>
      <w:adjustRightInd w:val="1"/>
      <w:spacing w:after="160" w:before="160" w:line="259" w:lineRule="auto"/>
      <w:jc w:val="center"/>
    </w:pPr>
    <w:rPr>
      <w:rFonts w:asciiTheme="minorHAnsi" w:cstheme="minorBidi" w:eastAsiaTheme="minorHAnsi" w:hAnsiTheme="minorHAnsi"/>
      <w:i w:val="1"/>
      <w:iCs w:val="1"/>
      <w:color w:val="404040" w:themeColor="text1" w:themeTint="0000BF"/>
      <w:kern w:val="2"/>
      <w:sz w:val="22"/>
      <w:szCs w:val="22"/>
    </w:rPr>
  </w:style>
  <w:style w:type="character" w:styleId="QuoteChar" w:customStyle="1">
    <w:name w:val="Quote Char"/>
    <w:basedOn w:val="DefaultParagraphFont"/>
    <w:link w:val="Quote"/>
    <w:uiPriority w:val="29"/>
    <w:rsid w:val="009616F1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9616F1"/>
    <w:pPr>
      <w:widowControl w:val="1"/>
      <w:autoSpaceDE w:val="1"/>
      <w:autoSpaceDN w:val="1"/>
      <w:adjustRightInd w:val="1"/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kern w:val="2"/>
      <w:sz w:val="22"/>
      <w:szCs w:val="22"/>
    </w:rPr>
  </w:style>
  <w:style w:type="character" w:styleId="IntenseEmphasis">
    <w:name w:val="Intense Emphasis"/>
    <w:basedOn w:val="DefaultParagraphFont"/>
    <w:uiPriority w:val="21"/>
    <w:qFormat w:val="1"/>
    <w:rsid w:val="009616F1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9616F1"/>
    <w:pPr>
      <w:widowControl w:val="1"/>
      <w:pBdr>
        <w:top w:color="0f4761" w:space="10" w:sz="4" w:themeColor="accent1" w:themeShade="0000BF" w:val="single"/>
        <w:bottom w:color="0f4761" w:space="10" w:sz="4" w:themeColor="accent1" w:themeShade="0000BF" w:val="single"/>
      </w:pBdr>
      <w:autoSpaceDE w:val="1"/>
      <w:autoSpaceDN w:val="1"/>
      <w:adjustRightInd w:val="1"/>
      <w:spacing w:after="360" w:before="360" w:line="259" w:lineRule="auto"/>
      <w:ind w:left="864" w:right="864"/>
      <w:jc w:val="center"/>
    </w:pPr>
    <w:rPr>
      <w:rFonts w:asciiTheme="minorHAnsi" w:cstheme="minorBidi" w:eastAsiaTheme="minorHAnsi" w:hAnsiTheme="minorHAnsi"/>
      <w:i w:val="1"/>
      <w:iCs w:val="1"/>
      <w:color w:val="0f4761" w:themeColor="accent1" w:themeShade="0000BF"/>
      <w:kern w:val="2"/>
      <w:sz w:val="22"/>
      <w:szCs w:val="2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616F1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9616F1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widowControl w:val="1"/>
      <w:spacing w:after="160" w:line="259" w:lineRule="auto"/>
    </w:pPr>
    <w:rPr>
      <w:rFonts w:ascii="Aptos" w:cs="Aptos" w:eastAsia="Aptos" w:hAnsi="Aptos"/>
      <w:color w:val="595959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justice.state.ut.u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3TL+u91GgkyriecbmPQShBbSYQ==">CgMxLjA4AHIhMTNlZVBqR2RFS29WUEItNUM5ZlZ4aG84ZjJWNTlaZ2pt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2024-02-08T22:35:00Z</dcterms:created>
  <dc:creator>Danielle Bird</dc:creator>
</cp:coreProperties>
</file>